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tabs>
          <w:tab w:val="left" w:pos="4962"/>
        </w:tabs>
        <w:ind w:firstLine="600"/>
        <w:rPr>
          <w:sz w:val="30"/>
          <w:szCs w:val="30"/>
          <w:highlight w:val="none"/>
        </w:rPr>
      </w:pPr>
      <w:r>
        <w:rPr>
          <w:rFonts w:hint="eastAsia"/>
          <w:sz w:val="30"/>
          <w:szCs w:val="30"/>
          <w:highlight w:val="none"/>
        </w:rPr>
        <w:t>附</w:t>
      </w:r>
    </w:p>
    <w:p>
      <w:pPr>
        <w:pStyle w:val="9"/>
        <w:tabs>
          <w:tab w:val="left" w:pos="4962"/>
        </w:tabs>
        <w:ind w:firstLine="600"/>
        <w:rPr>
          <w:sz w:val="30"/>
          <w:szCs w:val="30"/>
          <w:highlight w:val="none"/>
          <w:u w:val="single"/>
        </w:rPr>
      </w:pPr>
      <w:r>
        <w:rPr>
          <w:rFonts w:hint="eastAsia"/>
          <w:sz w:val="30"/>
          <w:szCs w:val="30"/>
          <w:highlight w:val="none"/>
        </w:rPr>
        <w:t xml:space="preserve">                         </w:t>
      </w:r>
      <w:r>
        <w:rPr>
          <w:rFonts w:hint="eastAsia" w:ascii="仿宋_GB2312" w:eastAsia="仿宋_GB2312"/>
          <w:sz w:val="30"/>
          <w:szCs w:val="30"/>
          <w:highlight w:val="none"/>
        </w:rPr>
        <w:t>协议号：</w:t>
      </w:r>
      <w:r>
        <w:rPr>
          <w:rFonts w:hint="eastAsia"/>
          <w:sz w:val="30"/>
          <w:szCs w:val="30"/>
          <w:highlight w:val="none"/>
          <w:u w:val="single"/>
        </w:rPr>
        <w:t xml:space="preserve">             </w:t>
      </w:r>
    </w:p>
    <w:p>
      <w:pPr>
        <w:spacing w:line="240" w:lineRule="atLeast"/>
        <w:ind w:firstLine="640"/>
        <w:rPr>
          <w:highlight w:val="none"/>
        </w:rPr>
      </w:pPr>
    </w:p>
    <w:p>
      <w:pPr>
        <w:rPr>
          <w:rFonts w:ascii="方正小标宋_GBK" w:eastAsia="方正小标宋_GBK"/>
          <w:b/>
          <w:sz w:val="44"/>
          <w:szCs w:val="44"/>
          <w:highlight w:val="none"/>
        </w:rPr>
      </w:pPr>
      <w:r>
        <w:rPr>
          <w:rFonts w:hint="eastAsia" w:ascii="方正小标宋_GBK" w:eastAsia="方正小标宋_GBK"/>
          <w:b/>
          <w:sz w:val="44"/>
          <w:szCs w:val="44"/>
          <w:highlight w:val="none"/>
        </w:rPr>
        <w:t>广西集中代收付系统委托付款授权协议</w:t>
      </w:r>
    </w:p>
    <w:p>
      <w:pPr>
        <w:ind w:firstLine="640"/>
        <w:rPr>
          <w:highlight w:val="none"/>
        </w:rPr>
      </w:pPr>
    </w:p>
    <w:p>
      <w:pPr>
        <w:ind w:firstLine="640"/>
        <w:rPr>
          <w:highlight w:val="none"/>
        </w:rPr>
        <w:sectPr>
          <w:headerReference r:id="rId3" w:type="default"/>
          <w:footerReference r:id="rId4" w:type="default"/>
          <w:footerReference r:id="rId5" w:type="even"/>
          <w:pgSz w:w="11906" w:h="16838"/>
          <w:pgMar w:top="2098" w:right="1474" w:bottom="1985" w:left="1588" w:header="851" w:footer="1757" w:gutter="0"/>
          <w:pgNumType w:start="18"/>
          <w:cols w:space="425" w:num="1"/>
          <w:docGrid w:type="lines" w:linePitch="435" w:charSpace="0"/>
        </w:sectPr>
      </w:pP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甲方（付款单位）</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 xml:space="preserve">单位名称： </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集中代收付单位代码：</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付款业务名称：</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集中代收付业务种类代码：</w:t>
      </w:r>
      <w:r>
        <w:rPr>
          <w:rFonts w:asciiTheme="minorHAnsi" w:hAnsiTheme="minorHAnsi" w:eastAsiaTheme="minorEastAsia" w:cstheme="minorBidi"/>
          <w:sz w:val="21"/>
          <w:szCs w:val="21"/>
          <w:highlight w:val="none"/>
        </w:rPr>
        <w:t>90003</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联系地址：</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邮政编码：</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联系电话：</w:t>
      </w:r>
    </w:p>
    <w:p>
      <w:pPr>
        <w:pStyle w:val="9"/>
        <w:spacing w:line="40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指定付款账号：</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指定付款户名：</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公积金缴存用户号：</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公积金缴存用户名称：</w:t>
      </w: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乙方（付款单位开户银行）</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机构名称： 招商银行股份有限公司南宁分行</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综合业务系统行号：</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联系电话：0771-5596260</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联系地址：广西壮族自治区南宁市青秀区华润C座1</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邮政编码：530022</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付款清算行行号：308611000016</w:t>
      </w:r>
    </w:p>
    <w:p>
      <w:pPr>
        <w:rPr>
          <w:szCs w:val="21"/>
          <w:highlight w:val="none"/>
        </w:rPr>
      </w:pPr>
    </w:p>
    <w:p>
      <w:pPr>
        <w:rPr>
          <w:szCs w:val="21"/>
          <w:highlight w:val="none"/>
        </w:rPr>
      </w:pPr>
    </w:p>
    <w:p>
      <w:pPr>
        <w:rPr>
          <w:szCs w:val="21"/>
          <w:highlight w:val="none"/>
        </w:rPr>
      </w:pPr>
    </w:p>
    <w:p>
      <w:pPr>
        <w:rPr>
          <w:szCs w:val="21"/>
          <w:highlight w:val="none"/>
        </w:rPr>
      </w:pPr>
    </w:p>
    <w:p>
      <w:pPr>
        <w:rPr>
          <w:szCs w:val="21"/>
          <w:highlight w:val="none"/>
        </w:rPr>
        <w:sectPr>
          <w:type w:val="continuous"/>
          <w:pgSz w:w="11906" w:h="16838"/>
          <w:pgMar w:top="2098" w:right="1474" w:bottom="1985" w:left="1588" w:header="851" w:footer="1757" w:gutter="0"/>
          <w:cols w:space="396" w:num="2"/>
          <w:docGrid w:type="lines" w:linePitch="435" w:charSpace="0"/>
        </w:sectPr>
      </w:pP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鉴于：</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甲方向广西金融电子服务结算中心（下称“结算中心”）申请入网，并通过向广西集中代收付系统（下称“代收付系统”）提交付款指令的方式，从其在乙方开立的账户扣划相关款项，完成对南宁住房公积金管理中心区直分中心（下称</w:t>
      </w:r>
      <w:r>
        <w:rPr>
          <w:rFonts w:hint="eastAsia" w:asciiTheme="minorHAnsi" w:hAnsiTheme="minorHAnsi" w:eastAsiaTheme="minorEastAsia" w:cstheme="minorBidi"/>
          <w:sz w:val="21"/>
          <w:szCs w:val="21"/>
          <w:highlight w:val="none"/>
          <w:lang w:val="en-US" w:eastAsia="zh-CN"/>
        </w:rPr>
        <w:t>“公积金</w:t>
      </w:r>
      <w:r>
        <w:rPr>
          <w:rFonts w:hint="eastAsia" w:asciiTheme="minorHAnsi" w:hAnsiTheme="minorHAnsi" w:eastAsiaTheme="minorEastAsia" w:cstheme="minorBidi"/>
          <w:sz w:val="21"/>
          <w:szCs w:val="21"/>
          <w:highlight w:val="none"/>
        </w:rPr>
        <w:t>中心”）的公积金</w:t>
      </w:r>
      <w:r>
        <w:rPr>
          <w:rFonts w:hint="eastAsia" w:asciiTheme="minorHAnsi" w:hAnsiTheme="minorHAnsi" w:eastAsiaTheme="minorEastAsia" w:cstheme="minorBidi"/>
          <w:sz w:val="21"/>
          <w:szCs w:val="21"/>
          <w:highlight w:val="none"/>
          <w:lang w:eastAsia="zh-CN"/>
        </w:rPr>
        <w:t>缴存</w:t>
      </w:r>
      <w:r>
        <w:rPr>
          <w:rFonts w:hint="eastAsia" w:asciiTheme="minorHAnsi" w:hAnsiTheme="minorHAnsi" w:eastAsiaTheme="minorEastAsia" w:cstheme="minorBidi"/>
          <w:sz w:val="21"/>
          <w:szCs w:val="21"/>
          <w:highlight w:val="none"/>
        </w:rPr>
        <w:t>事宜。</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2、公积金中心开发了“南宁住房公积金管理中心区直分中心网上</w:t>
      </w:r>
      <w:r>
        <w:rPr>
          <w:rFonts w:hint="eastAsia" w:asciiTheme="minorHAnsi" w:hAnsiTheme="minorHAnsi" w:eastAsiaTheme="minorEastAsia" w:cstheme="minorBidi"/>
          <w:sz w:val="21"/>
          <w:szCs w:val="21"/>
          <w:highlight w:val="none"/>
          <w:lang w:eastAsia="zh-CN"/>
        </w:rPr>
        <w:t>大</w:t>
      </w:r>
      <w:r>
        <w:rPr>
          <w:rFonts w:hint="eastAsia" w:asciiTheme="minorHAnsi" w:hAnsiTheme="minorHAnsi" w:eastAsiaTheme="minorEastAsia" w:cstheme="minorBidi"/>
          <w:sz w:val="21"/>
          <w:szCs w:val="21"/>
          <w:highlight w:val="none"/>
        </w:rPr>
        <w:t>厅”（下称“网上</w:t>
      </w:r>
      <w:r>
        <w:rPr>
          <w:rFonts w:hint="eastAsia" w:asciiTheme="minorHAnsi" w:hAnsiTheme="minorHAnsi" w:eastAsiaTheme="minorEastAsia" w:cstheme="minorBidi"/>
          <w:sz w:val="21"/>
          <w:szCs w:val="21"/>
          <w:highlight w:val="none"/>
          <w:lang w:eastAsia="zh-CN"/>
        </w:rPr>
        <w:t>大</w:t>
      </w:r>
      <w:r>
        <w:rPr>
          <w:rFonts w:hint="eastAsia" w:asciiTheme="minorHAnsi" w:hAnsiTheme="minorHAnsi" w:eastAsiaTheme="minorEastAsia" w:cstheme="minorBidi"/>
          <w:sz w:val="21"/>
          <w:szCs w:val="21"/>
          <w:highlight w:val="none"/>
        </w:rPr>
        <w:t>厅”），并与结算中心签订了《合作协议》，约定由公积金中心租用结算中心的代收付系统，将该系统与网上营业厅连接，为包括甲方在内的网上营业厅用户提供身份认证和网络访问接入渠道，方便甲方向公积金中心完成公积金缴</w:t>
      </w:r>
      <w:r>
        <w:rPr>
          <w:rFonts w:hint="eastAsia" w:asciiTheme="minorHAnsi" w:hAnsiTheme="minorHAnsi" w:eastAsiaTheme="minorEastAsia" w:cstheme="minorBidi"/>
          <w:sz w:val="21"/>
          <w:szCs w:val="21"/>
          <w:highlight w:val="none"/>
          <w:lang w:eastAsia="zh-CN"/>
        </w:rPr>
        <w:t>存</w:t>
      </w:r>
      <w:r>
        <w:rPr>
          <w:rFonts w:hint="eastAsia" w:asciiTheme="minorHAnsi" w:hAnsiTheme="minorHAnsi" w:eastAsiaTheme="minorEastAsia" w:cstheme="minorBidi"/>
          <w:sz w:val="21"/>
          <w:szCs w:val="21"/>
          <w:highlight w:val="none"/>
        </w:rPr>
        <w:t>业务。</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3、乙方与公积金中心签订了</w:t>
      </w:r>
      <w:r>
        <w:rPr>
          <w:rFonts w:hint="eastAsia" w:asciiTheme="minorHAnsi" w:hAnsiTheme="minorHAnsi" w:eastAsiaTheme="minorEastAsia" w:cstheme="minorBidi"/>
          <w:color w:val="auto"/>
          <w:sz w:val="21"/>
          <w:szCs w:val="21"/>
          <w:highlight w:val="none"/>
        </w:rPr>
        <w:t>《住房公积金支付结算业务合作协议书》</w:t>
      </w:r>
      <w:r>
        <w:rPr>
          <w:rFonts w:hint="eastAsia" w:asciiTheme="minorHAnsi" w:hAnsiTheme="minorHAnsi" w:eastAsiaTheme="minorEastAsia" w:cstheme="minorBidi"/>
          <w:sz w:val="21"/>
          <w:szCs w:val="21"/>
          <w:highlight w:val="none"/>
        </w:rPr>
        <w:t>及其补充协议，</w:t>
      </w:r>
      <w:r>
        <w:rPr>
          <w:rFonts w:hint="eastAsia" w:asciiTheme="minorHAnsi" w:hAnsiTheme="minorHAnsi" w:eastAsiaTheme="minorEastAsia" w:cstheme="minorBidi"/>
          <w:sz w:val="21"/>
          <w:szCs w:val="21"/>
          <w:highlight w:val="none"/>
        </w:rPr>
        <w:t>约定双方通过住房公积金银行结算数据采集系统合作开展住房公积金银行结算数据采集和电子支付结算业务。</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甲方作为公积金的付款方，公积金中心为公积金的收款方，为使甲方款项能过通过网上</w:t>
      </w:r>
      <w:r>
        <w:rPr>
          <w:rFonts w:hint="eastAsia" w:asciiTheme="minorHAnsi" w:hAnsiTheme="minorHAnsi" w:eastAsiaTheme="minorEastAsia" w:cstheme="minorBidi"/>
          <w:sz w:val="21"/>
          <w:szCs w:val="21"/>
          <w:highlight w:val="none"/>
          <w:lang w:eastAsia="zh-CN"/>
        </w:rPr>
        <w:t>大</w:t>
      </w:r>
      <w:r>
        <w:rPr>
          <w:rFonts w:hint="eastAsia" w:asciiTheme="minorHAnsi" w:hAnsiTheme="minorHAnsi" w:eastAsiaTheme="minorEastAsia" w:cstheme="minorBidi"/>
          <w:sz w:val="21"/>
          <w:szCs w:val="21"/>
          <w:highlight w:val="none"/>
        </w:rPr>
        <w:t>厅、</w:t>
      </w:r>
      <w:r>
        <w:rPr>
          <w:rFonts w:hint="eastAsia" w:asciiTheme="minorHAnsi" w:hAnsiTheme="minorHAnsi" w:eastAsiaTheme="minorEastAsia" w:cstheme="minorBidi"/>
          <w:sz w:val="21"/>
          <w:szCs w:val="21"/>
          <w:highlight w:val="none"/>
        </w:rPr>
        <w:t>代收付系统以及住房公积金银行结算数据采集系统方便、快捷的进入公积金中心账户，现甲乙双方本着自愿、平等的原则，达成以下委托付款协议：</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 xml:space="preserve">    委托类型：□授权   □变更   □终止  （在□中画√）</w:t>
      </w:r>
    </w:p>
    <w:p>
      <w:pPr>
        <w:pStyle w:val="9"/>
        <w:spacing w:line="560" w:lineRule="exact"/>
        <w:ind w:firstLine="0" w:firstLineChars="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 xml:space="preserve">    原协议号（仅“变更”和“终止”填写）：                    </w:t>
      </w:r>
      <w:r>
        <w:rPr>
          <w:rFonts w:asciiTheme="minorHAnsi" w:hAnsiTheme="minorHAnsi" w:eastAsiaTheme="minorEastAsia" w:cstheme="minorBidi"/>
          <w:sz w:val="21"/>
          <w:szCs w:val="21"/>
          <w:highlight w:val="none"/>
        </w:rPr>
        <w:t xml:space="preserve">  </w:t>
      </w:r>
    </w:p>
    <w:p>
      <w:pPr>
        <w:pStyle w:val="9"/>
        <w:spacing w:line="40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 xml:space="preserve">1. </w:t>
      </w:r>
      <w:r>
        <w:rPr>
          <w:rFonts w:hint="eastAsia" w:asciiTheme="minorHAnsi" w:hAnsiTheme="minorHAnsi" w:eastAsiaTheme="minorEastAsia" w:cstheme="minorBidi"/>
          <w:sz w:val="21"/>
          <w:szCs w:val="21"/>
          <w:highlight w:val="none"/>
        </w:rPr>
        <w:t>甲方通过公积金中心的网上营业厅向广西集中代收付系统提交公积金付款指令，并委托和授权乙方按照广西集中代收付系统提交给乙方的付款指令，从甲方指定账户向收款人支付指定的公积金款项。</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2.</w:t>
      </w:r>
      <w:r>
        <w:rPr>
          <w:rFonts w:hint="eastAsia" w:asciiTheme="minorHAnsi" w:hAnsiTheme="minorHAnsi" w:eastAsiaTheme="minorEastAsia" w:cstheme="minorBidi"/>
          <w:sz w:val="21"/>
          <w:szCs w:val="21"/>
          <w:highlight w:val="none"/>
        </w:rPr>
        <w:t>甲方应保证账户有足够的资金以支付款项，如甲方账户余额不足以全额支付款项的，甲方同意按当前余额进行部分付款，单位零余额账户应将缴费项目纳入到授权支付额度内。因甲方付款账户挂失、冻结、销户或余额不足等原因，未能支付相关应付款项所造成的一切损失和法律后果由甲方承担</w:t>
      </w:r>
      <w:r>
        <w:rPr>
          <w:rFonts w:hint="eastAsia" w:asciiTheme="minorHAnsi" w:hAnsiTheme="minorHAnsi" w:eastAsiaTheme="minorEastAsia" w:cstheme="minorBidi"/>
          <w:sz w:val="21"/>
          <w:szCs w:val="21"/>
          <w:highlight w:val="none"/>
        </w:rPr>
        <w:t>。</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3.甲方需要变更付款账户时，应及时与乙方签署新的《广西集中代收付系统委托授权协议》（变更），新协议提交广西集中代收付系统生效后，原协议自动终止。因甲方未及时联系签署新协议，所造成的一切违约责任和法律后果均由甲方承担。</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4.甲方有权向乙方提出终止授权。甲方需终止授权时，应与乙方签订《广西集中代收付系统委托授权协议》（终止）。甲方不得与乙方之外的的其他银行签署新的《广西集中代收付系统委托付款授权协议》（授权），否则造成重复付款或其他法律后果的，有关责任由甲方承担。</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5.甲乙双方保证本协议中所填信息真实、有效、完整。因一方信息填写有误，未能按付款指令成功扣除相关应付款项所造成的损失由责任方承担。</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6.乙方应负责审核本协议中付款账户的相关信息，确保其准确无误。</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7.甲方负责及时将本协议（包括“授权”、“变更”和“终止”）的电子信息提交到广西集中代收付系统，因未及时提交协议电子信息造成的责任由甲方承担。</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8.乙方因自身原因未按广西集中代收付系统发送的付款指令进行付款或乙方擅自从甲方账户进行付款的，所造成的一切损失和责任由乙方承担。</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9.因甲方提交错误的付款指令，对收款人造成影响或损失的，由甲方承担赔偿责任。乙方按照广西集中代收付系统提交的付款指令进行付款后，甲方对付款金额、付款次数或付款金额与金额发票不符等问题有异议的，由甲方与收款方协商解决，乙方不承担责任。甲方与收款方之间的债权债务关系以及其他法律关系甲方与收款方自行解决和处理。</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10.因不可抗力导致甲乙双方或收款人遭受损失的，甲乙双方均不承担责任。不可抗力包括但不限于：自然灾害、突发性公共安全事件、突发性公共卫生事件、国家或监管部门强制性要求、战争。</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11.甲乙双方执行本协议过程中发生争议的，应协商解决；协商不成的，可向甲方所在地的人民法院提起诉讼。</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12.甲方与收款人之间的债权债务关系以及其他法律关系均由甲方和收款人自行解决和处理，概与乙方无关。</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13.委托类型为“变更”和“终止”的协议应填写原协议号。</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14.本协议经甲乙双方签署，并提交至广西金融电子结算服务中心备案后生效。本协议一式叁份，甲方、乙方、广西金融电子结算服务中心各执壹份。</w:t>
      </w:r>
      <w:bookmarkStart w:id="0" w:name="_GoBack"/>
      <w:bookmarkEnd w:id="0"/>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15.本协议未作约定的部分，均遵守我国有关法律、法规以及集中代收付系统的有关制度执行。</w:t>
      </w: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16.未尽事宜，甲乙双方可另行签订补充协议，补充协议为本协议不可分割的部分，具有同等的法律效力。</w:t>
      </w:r>
    </w:p>
    <w:p>
      <w:pPr>
        <w:pStyle w:val="9"/>
        <w:spacing w:line="40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甲方签章（公章）：</w:t>
      </w:r>
    </w:p>
    <w:p>
      <w:pPr>
        <w:pStyle w:val="9"/>
        <w:spacing w:line="560" w:lineRule="exact"/>
        <w:ind w:firstLine="420"/>
        <w:rPr>
          <w:rFonts w:asciiTheme="minorHAnsi" w:hAnsiTheme="minorHAnsi" w:eastAsiaTheme="minorEastAsia" w:cstheme="minorBidi"/>
          <w:sz w:val="21"/>
          <w:szCs w:val="21"/>
          <w:highlight w:val="none"/>
        </w:rPr>
      </w:pPr>
      <w:r>
        <w:rPr>
          <w:rFonts w:asciiTheme="minorHAnsi" w:hAnsiTheme="minorHAnsi" w:eastAsiaTheme="minorEastAsia" w:cstheme="minorBidi"/>
          <w:sz w:val="21"/>
          <w:szCs w:val="21"/>
          <w:highlight w:val="none"/>
        </w:rPr>
        <w:t xml:space="preserve">                                 </w:t>
      </w:r>
      <w:r>
        <w:rPr>
          <w:rFonts w:hint="eastAsia" w:asciiTheme="minorHAnsi" w:hAnsiTheme="minorHAnsi" w:eastAsiaTheme="minorEastAsia" w:cstheme="minorBidi"/>
          <w:sz w:val="21"/>
          <w:szCs w:val="21"/>
          <w:highlight w:val="none"/>
        </w:rPr>
        <w:t>年     月    日</w:t>
      </w:r>
    </w:p>
    <w:p>
      <w:pPr>
        <w:pStyle w:val="9"/>
        <w:spacing w:line="400" w:lineRule="exact"/>
        <w:ind w:firstLine="0" w:firstLineChars="0"/>
        <w:rPr>
          <w:rFonts w:asciiTheme="minorHAnsi" w:hAnsiTheme="minorHAnsi" w:eastAsiaTheme="minorEastAsia" w:cstheme="minorBidi"/>
          <w:sz w:val="21"/>
          <w:szCs w:val="21"/>
          <w:highlight w:val="none"/>
        </w:rPr>
      </w:pPr>
    </w:p>
    <w:p>
      <w:pPr>
        <w:pStyle w:val="9"/>
        <w:spacing w:line="400" w:lineRule="exact"/>
        <w:ind w:firstLine="0" w:firstLineChars="0"/>
        <w:rPr>
          <w:rFonts w:asciiTheme="minorHAnsi" w:hAnsiTheme="minorHAnsi" w:eastAsiaTheme="minorEastAsia" w:cstheme="minorBidi"/>
          <w:sz w:val="21"/>
          <w:szCs w:val="21"/>
          <w:highlight w:val="none"/>
        </w:rPr>
      </w:pPr>
    </w:p>
    <w:p>
      <w:pPr>
        <w:pStyle w:val="9"/>
        <w:spacing w:line="400" w:lineRule="exact"/>
        <w:ind w:firstLine="0" w:firstLineChars="0"/>
        <w:rPr>
          <w:rFonts w:asciiTheme="minorHAnsi" w:hAnsiTheme="minorHAnsi" w:eastAsiaTheme="minorEastAsia" w:cstheme="minorBidi"/>
          <w:sz w:val="21"/>
          <w:szCs w:val="21"/>
          <w:highlight w:val="none"/>
        </w:rPr>
      </w:pPr>
    </w:p>
    <w:p>
      <w:pPr>
        <w:pStyle w:val="9"/>
        <w:spacing w:line="560" w:lineRule="exact"/>
        <w:ind w:firstLine="420"/>
        <w:rPr>
          <w:rFonts w:asciiTheme="minorHAnsi" w:hAnsiTheme="minorHAnsi" w:eastAsiaTheme="minorEastAsia" w:cstheme="minorBidi"/>
          <w:sz w:val="21"/>
          <w:szCs w:val="21"/>
          <w:highlight w:val="none"/>
        </w:rPr>
      </w:pPr>
      <w:r>
        <w:rPr>
          <w:rFonts w:hint="eastAsia" w:asciiTheme="minorHAnsi" w:hAnsiTheme="minorHAnsi" w:eastAsiaTheme="minorEastAsia" w:cstheme="minorBidi"/>
          <w:sz w:val="21"/>
          <w:szCs w:val="21"/>
          <w:highlight w:val="none"/>
        </w:rPr>
        <w:t>乙方签章（公章）：</w:t>
      </w:r>
    </w:p>
    <w:p>
      <w:pPr>
        <w:rPr>
          <w:szCs w:val="21"/>
          <w:highlight w:val="none"/>
        </w:rPr>
      </w:pPr>
      <w:r>
        <w:rPr>
          <w:rFonts w:hint="eastAsia"/>
          <w:szCs w:val="21"/>
          <w:highlight w:val="none"/>
        </w:rPr>
        <w:t xml:space="preserve">                               年     月    日</w:t>
      </w:r>
    </w:p>
    <w:p>
      <w:pPr>
        <w:rPr>
          <w:highlight w:val="none"/>
        </w:rPr>
      </w:pPr>
    </w:p>
    <w:p>
      <w:pPr>
        <w:rPr>
          <w:highlight w:val="none"/>
        </w:rPr>
      </w:pPr>
    </w:p>
    <w:p>
      <w:pPr>
        <w:rPr>
          <w:highlight w:val="none"/>
        </w:rPr>
      </w:pPr>
    </w:p>
    <w:p>
      <w:pPr>
        <w:rPr>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Style w:val="6"/>
        <w:rFonts w:ascii="宋体" w:hAnsi="宋体"/>
        <w:sz w:val="28"/>
        <w:szCs w:val="28"/>
      </w:rPr>
      <w:t>—</w:t>
    </w:r>
    <w:r>
      <w:rPr>
        <w:rStyle w:val="6"/>
        <w:rFonts w:hint="eastAsia" w:ascii="宋体" w:hAnsi="宋体"/>
        <w:sz w:val="28"/>
        <w:szCs w:val="28"/>
      </w:rPr>
      <w:t>11</w:t>
    </w:r>
    <w:r>
      <w:rPr>
        <w:rStyle w:val="6"/>
        <w:rFonts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210" w:leftChars="100"/>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20</w:t>
    </w:r>
    <w:r>
      <w:rPr>
        <w:rFonts w:ascii="宋体" w:hAnsi="宋体" w:eastAsia="宋体"/>
        <w:sz w:val="28"/>
        <w:szCs w:val="28"/>
      </w:rPr>
      <w:fldChar w:fldCharType="end"/>
    </w:r>
    <w:r>
      <w:rPr>
        <w:rFonts w:hint="eastAsia" w:ascii="宋体" w:hAnsi="宋体" w:eastAsia="宋体"/>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C9"/>
    <w:rsid w:val="008A46C9"/>
    <w:rsid w:val="009C6E1A"/>
    <w:rsid w:val="00DA7E96"/>
    <w:rsid w:val="15EC5D84"/>
    <w:rsid w:val="316449F7"/>
    <w:rsid w:val="40FC2DAC"/>
    <w:rsid w:val="48A62FDC"/>
    <w:rsid w:val="74AA1555"/>
    <w:rsid w:val="7ABD7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协议正文"/>
    <w:basedOn w:val="1"/>
    <w:link w:val="10"/>
    <w:qFormat/>
    <w:uiPriority w:val="0"/>
    <w:pPr>
      <w:ind w:firstLine="200" w:firstLineChars="200"/>
    </w:pPr>
    <w:rPr>
      <w:rFonts w:ascii="仿宋" w:hAnsi="仿宋" w:eastAsia="仿宋" w:cs="Times New Roman"/>
      <w:sz w:val="24"/>
      <w:szCs w:val="24"/>
    </w:rPr>
  </w:style>
  <w:style w:type="character" w:customStyle="1" w:styleId="10">
    <w:name w:val="协议正文 Char"/>
    <w:link w:val="9"/>
    <w:qFormat/>
    <w:uiPriority w:val="0"/>
    <w:rPr>
      <w:rFonts w:ascii="仿宋" w:hAnsi="仿宋" w:eastAsia="仿宋"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328</Words>
  <Characters>1875</Characters>
  <Lines>15</Lines>
  <Paragraphs>4</Paragraphs>
  <TotalTime>0</TotalTime>
  <ScaleCrop>false</ScaleCrop>
  <LinksUpToDate>false</LinksUpToDate>
  <CharactersWithSpaces>2199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2020-03-02T03:34:00Z</dcterms:created>
  <dc:creator>nn710391</dc:creator>
  <cp:lastModifiedBy>松</cp:lastModifiedBy>
  <dcterms:modified xsi:type="dcterms:W3CDTF">2020-07-06T05:54:33Z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