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Chars="200"/>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住房公积金服务“跨省通办”事项清单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33"/>
        <w:gridCol w:w="3914"/>
        <w:gridCol w:w="6095"/>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06" w:hRule="atLeast"/>
        </w:trPr>
        <w:tc>
          <w:tcPr>
            <w:tcW w:w="933" w:type="dxa"/>
            <w:vAlign w:val="center"/>
          </w:tcPr>
          <w:p>
            <w:pPr>
              <w:jc w:val="center"/>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序号</w:t>
            </w:r>
          </w:p>
        </w:tc>
        <w:tc>
          <w:tcPr>
            <w:tcW w:w="3914" w:type="dxa"/>
            <w:vAlign w:val="center"/>
          </w:tcPr>
          <w:p>
            <w:pPr>
              <w:jc w:val="center"/>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事项名称</w:t>
            </w:r>
          </w:p>
        </w:tc>
        <w:tc>
          <w:tcPr>
            <w:tcW w:w="6095" w:type="dxa"/>
            <w:vAlign w:val="center"/>
          </w:tcPr>
          <w:p>
            <w:pPr>
              <w:jc w:val="center"/>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应用场景</w:t>
            </w:r>
          </w:p>
        </w:tc>
        <w:tc>
          <w:tcPr>
            <w:tcW w:w="2030" w:type="dxa"/>
            <w:vAlign w:val="center"/>
          </w:tcPr>
          <w:p>
            <w:pPr>
              <w:jc w:val="center"/>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实现方式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2" w:hRule="atLeast"/>
        </w:trPr>
        <w:tc>
          <w:tcPr>
            <w:tcW w:w="933"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w:t>
            </w:r>
          </w:p>
        </w:tc>
        <w:tc>
          <w:tcPr>
            <w:tcW w:w="3914" w:type="dxa"/>
            <w:vAlign w:val="center"/>
          </w:tcPr>
          <w:p>
            <w:pPr>
              <w:jc w:val="both"/>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个人住房公积金缴存贷款等信息查询</w:t>
            </w:r>
          </w:p>
        </w:tc>
        <w:tc>
          <w:tcPr>
            <w:tcW w:w="6095" w:type="dxa"/>
            <w:vAlign w:val="center"/>
          </w:tcPr>
          <w:p>
            <w:pPr>
              <w:jc w:val="both"/>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申请人可异地查询个人住房公积金缴存贷款信息，不受住房公积金缴存地限制。</w:t>
            </w:r>
          </w:p>
        </w:tc>
        <w:tc>
          <w:tcPr>
            <w:tcW w:w="2030"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全程网办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2" w:hRule="atLeast"/>
        </w:trPr>
        <w:tc>
          <w:tcPr>
            <w:tcW w:w="933"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w:t>
            </w:r>
          </w:p>
        </w:tc>
        <w:tc>
          <w:tcPr>
            <w:tcW w:w="3914" w:type="dxa"/>
            <w:vAlign w:val="center"/>
          </w:tcPr>
          <w:p>
            <w:pPr>
              <w:jc w:val="both"/>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出具贷款职工住房公积金缴存使</w:t>
            </w:r>
            <w:bookmarkStart w:id="0" w:name="_GoBack"/>
            <w:bookmarkEnd w:id="0"/>
            <w:r>
              <w:rPr>
                <w:rFonts w:hint="eastAsia" w:ascii="仿宋_GB2312" w:hAnsi="仿宋_GB2312" w:eastAsia="仿宋_GB2312" w:cs="仿宋_GB2312"/>
                <w:vertAlign w:val="baseline"/>
                <w:lang w:val="en-US" w:eastAsia="zh-CN"/>
              </w:rPr>
              <w:t>用证明</w:t>
            </w:r>
          </w:p>
        </w:tc>
        <w:tc>
          <w:tcPr>
            <w:tcW w:w="6095" w:type="dxa"/>
            <w:vAlign w:val="center"/>
          </w:tcPr>
          <w:p>
            <w:pPr>
              <w:jc w:val="both"/>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申请人在非住房公积金缴存地贷款购房，可向购房地住房公积金管理中心申请出具贷款职工住房公积金缴存使用证明，不受住房公积金缴存地限制。</w:t>
            </w:r>
          </w:p>
        </w:tc>
        <w:tc>
          <w:tcPr>
            <w:tcW w:w="2030"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代收代办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77" w:hRule="atLeast"/>
        </w:trPr>
        <w:tc>
          <w:tcPr>
            <w:tcW w:w="933"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3</w:t>
            </w:r>
          </w:p>
        </w:tc>
        <w:tc>
          <w:tcPr>
            <w:tcW w:w="3914" w:type="dxa"/>
            <w:vAlign w:val="center"/>
          </w:tcPr>
          <w:p>
            <w:pPr>
              <w:jc w:val="both"/>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正常退休提取住房公积金</w:t>
            </w:r>
          </w:p>
        </w:tc>
        <w:tc>
          <w:tcPr>
            <w:tcW w:w="6095" w:type="dxa"/>
            <w:vAlign w:val="center"/>
          </w:tcPr>
          <w:p>
            <w:pPr>
              <w:jc w:val="both"/>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申请人正常退休，可异地提取住房公积金，不受住房公积金缴存地限制。</w:t>
            </w:r>
          </w:p>
        </w:tc>
        <w:tc>
          <w:tcPr>
            <w:tcW w:w="2030"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全程网办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8" w:hRule="atLeast"/>
        </w:trPr>
        <w:tc>
          <w:tcPr>
            <w:tcW w:w="933"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4</w:t>
            </w:r>
          </w:p>
        </w:tc>
        <w:tc>
          <w:tcPr>
            <w:tcW w:w="3914" w:type="dxa"/>
            <w:vAlign w:val="center"/>
          </w:tcPr>
          <w:p>
            <w:pPr>
              <w:jc w:val="both"/>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住房公积金单位登记开户</w:t>
            </w:r>
          </w:p>
        </w:tc>
        <w:tc>
          <w:tcPr>
            <w:tcW w:w="6095" w:type="dxa"/>
            <w:vAlign w:val="center"/>
          </w:tcPr>
          <w:p>
            <w:pPr>
              <w:jc w:val="both"/>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申请人可异地向注册地住房公积金管理中心申请住房公积金单位登记开户，不受地域限制。</w:t>
            </w:r>
          </w:p>
        </w:tc>
        <w:tc>
          <w:tcPr>
            <w:tcW w:w="2030"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全程网办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95" w:hRule="atLeast"/>
        </w:trPr>
        <w:tc>
          <w:tcPr>
            <w:tcW w:w="933"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5</w:t>
            </w:r>
          </w:p>
        </w:tc>
        <w:tc>
          <w:tcPr>
            <w:tcW w:w="3914" w:type="dxa"/>
            <w:vAlign w:val="center"/>
          </w:tcPr>
          <w:p>
            <w:pPr>
              <w:jc w:val="both"/>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住房公积金单位及个人缴存信息变更</w:t>
            </w:r>
          </w:p>
        </w:tc>
        <w:tc>
          <w:tcPr>
            <w:tcW w:w="6095" w:type="dxa"/>
            <w:vAlign w:val="center"/>
          </w:tcPr>
          <w:p>
            <w:pPr>
              <w:jc w:val="both"/>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申请人可异地向缴存地住房公积金管理中心申请变更单位及个人住房公积金缴存信息、不受地域限制。</w:t>
            </w:r>
          </w:p>
        </w:tc>
        <w:tc>
          <w:tcPr>
            <w:tcW w:w="2030"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全程网办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1" w:hRule="atLeast"/>
        </w:trPr>
        <w:tc>
          <w:tcPr>
            <w:tcW w:w="933"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6</w:t>
            </w:r>
          </w:p>
        </w:tc>
        <w:tc>
          <w:tcPr>
            <w:tcW w:w="3914" w:type="dxa"/>
            <w:vAlign w:val="center"/>
          </w:tcPr>
          <w:p>
            <w:pPr>
              <w:jc w:val="both"/>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购房提取住房公积金</w:t>
            </w:r>
          </w:p>
        </w:tc>
        <w:tc>
          <w:tcPr>
            <w:tcW w:w="6095" w:type="dxa"/>
            <w:vAlign w:val="center"/>
          </w:tcPr>
          <w:p>
            <w:pPr>
              <w:jc w:val="both"/>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申请人在非缴存地购房的，可向购房地住房公积金管理中心提出申请，从缴存地住房公积金管理中心提取住房公积金。</w:t>
            </w:r>
          </w:p>
        </w:tc>
        <w:tc>
          <w:tcPr>
            <w:tcW w:w="2030"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两地联办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1" w:hRule="atLeast"/>
        </w:trPr>
        <w:tc>
          <w:tcPr>
            <w:tcW w:w="933"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7</w:t>
            </w:r>
          </w:p>
        </w:tc>
        <w:tc>
          <w:tcPr>
            <w:tcW w:w="3914" w:type="dxa"/>
            <w:vAlign w:val="center"/>
          </w:tcPr>
          <w:p>
            <w:pPr>
              <w:jc w:val="both"/>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开具住房公积金个人住房贷款全部结清证明</w:t>
            </w:r>
          </w:p>
        </w:tc>
        <w:tc>
          <w:tcPr>
            <w:tcW w:w="6095" w:type="dxa"/>
            <w:vAlign w:val="center"/>
          </w:tcPr>
          <w:p>
            <w:pPr>
              <w:jc w:val="both"/>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申请人可异地向贷款地住房公积金管理中心申请开具住房公积金个人住房贷款全部结清证明，不受地域限制。</w:t>
            </w:r>
          </w:p>
        </w:tc>
        <w:tc>
          <w:tcPr>
            <w:tcW w:w="2030"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代收代办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15" w:hRule="atLeast"/>
        </w:trPr>
        <w:tc>
          <w:tcPr>
            <w:tcW w:w="933"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8</w:t>
            </w:r>
          </w:p>
        </w:tc>
        <w:tc>
          <w:tcPr>
            <w:tcW w:w="3914" w:type="dxa"/>
            <w:vAlign w:val="center"/>
          </w:tcPr>
          <w:p>
            <w:pPr>
              <w:jc w:val="both"/>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提前还清住房公积金贷款</w:t>
            </w:r>
          </w:p>
        </w:tc>
        <w:tc>
          <w:tcPr>
            <w:tcW w:w="6095" w:type="dxa"/>
            <w:vAlign w:val="center"/>
          </w:tcPr>
          <w:p>
            <w:pPr>
              <w:jc w:val="both"/>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申请人可异地向贷款地住房公积金管理中心申请提前还清住房公积金贷款，不受地域限制。</w:t>
            </w:r>
          </w:p>
        </w:tc>
        <w:tc>
          <w:tcPr>
            <w:tcW w:w="2030"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全程网办</w:t>
            </w:r>
          </w:p>
        </w:tc>
      </w:tr>
    </w:tbl>
    <w:p>
      <w:pPr>
        <w:rPr>
          <w:rFonts w:hint="default"/>
          <w:lang w:val="en-US" w:eastAsia="zh-CN"/>
        </w:rPr>
      </w:pPr>
    </w:p>
    <w:sectPr>
      <w:pgSz w:w="16838" w:h="11906" w:orient="landscape"/>
      <w:pgMar w:top="1587" w:right="2098" w:bottom="1474" w:left="1984"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632">
      <wne:acd wne:acdName="acd0"/>
    </wne:keymap>
    <wne:keymap wne:kcmPrimary="0631">
      <wne:acd wne:acdName="acd1"/>
    </wne:keymap>
  </wne:keymaps>
  <wne:acds>
    <wne:acd wne:argValue="AgCMTqd+B2iYmA==" wne:acdName="acd0" wne:fciIndexBasedOn="0065"/>
    <wne:acd wne:argValue="AgAATqd+B2iYm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767877"/>
    <w:multiLevelType w:val="singleLevel"/>
    <w:tmpl w:val="CE767877"/>
    <w:lvl w:ilvl="0" w:tentative="0">
      <w:start w:val="1"/>
      <w:numFmt w:val="chineseCounting"/>
      <w:pStyle w:val="11"/>
      <w:suff w:val="nothing"/>
      <w:lvlText w:val="（%1）"/>
      <w:lvlJc w:val="left"/>
      <w:pPr>
        <w:ind w:left="0" w:firstLine="420"/>
      </w:pPr>
      <w:rPr>
        <w:rFonts w:hint="eastAsia"/>
      </w:rPr>
    </w:lvl>
  </w:abstractNum>
  <w:abstractNum w:abstractNumId="1">
    <w:nsid w:val="F3385794"/>
    <w:multiLevelType w:val="singleLevel"/>
    <w:tmpl w:val="F3385794"/>
    <w:lvl w:ilvl="0" w:tentative="0">
      <w:start w:val="1"/>
      <w:numFmt w:val="chineseCounting"/>
      <w:pStyle w:val="12"/>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CB688F"/>
    <w:rsid w:val="156F1070"/>
    <w:rsid w:val="18B2409C"/>
    <w:rsid w:val="2C5A0465"/>
    <w:rsid w:val="3C0E0F0D"/>
    <w:rsid w:val="546F422E"/>
    <w:rsid w:val="54DB19F6"/>
    <w:rsid w:val="71F42B82"/>
    <w:rsid w:val="77A36EA8"/>
    <w:rsid w:val="7EEC4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asciiTheme="minorAscii" w:hAnsiTheme="minorAscii"/>
      <w:b/>
      <w:kern w:val="44"/>
      <w:sz w:val="44"/>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toc 3"/>
    <w:basedOn w:val="1"/>
    <w:next w:val="1"/>
    <w:uiPriority w:val="0"/>
    <w:pPr>
      <w:ind w:left="840" w:leftChars="400"/>
    </w:pPr>
  </w:style>
  <w:style w:type="paragraph" w:styleId="4">
    <w:name w:val="toc 2"/>
    <w:basedOn w:val="1"/>
    <w:next w:val="1"/>
    <w:uiPriority w:val="0"/>
    <w:pPr>
      <w:ind w:left="420" w:leftChars="200"/>
    </w:p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一级目录"/>
    <w:basedOn w:val="4"/>
    <w:next w:val="3"/>
    <w:uiPriority w:val="0"/>
    <w:rPr>
      <w:rFonts w:eastAsia="黑体" w:asciiTheme="minorAscii" w:hAnsiTheme="minorAscii"/>
      <w:b/>
      <w:sz w:val="32"/>
    </w:rPr>
  </w:style>
  <w:style w:type="paragraph" w:customStyle="1" w:styleId="10">
    <w:name w:val="我的标题"/>
    <w:basedOn w:val="5"/>
    <w:uiPriority w:val="0"/>
    <w:pPr>
      <w:spacing w:line="240" w:lineRule="auto"/>
    </w:pPr>
    <w:rPr>
      <w:rFonts w:eastAsia="方正小标宋简体" w:asciiTheme="minorAscii" w:hAnsiTheme="minorAscii"/>
      <w:sz w:val="44"/>
    </w:rPr>
  </w:style>
  <w:style w:type="paragraph" w:customStyle="1" w:styleId="11">
    <w:name w:val="二级标题"/>
    <w:basedOn w:val="1"/>
    <w:next w:val="1"/>
    <w:uiPriority w:val="0"/>
    <w:pPr>
      <w:numPr>
        <w:ilvl w:val="0"/>
        <w:numId w:val="1"/>
      </w:numPr>
      <w:spacing w:line="560" w:lineRule="exact"/>
    </w:pPr>
    <w:rPr>
      <w:rFonts w:ascii="Arial" w:hAnsi="Arial" w:eastAsia="楷体_GB2312"/>
      <w:b/>
      <w:sz w:val="32"/>
    </w:rPr>
  </w:style>
  <w:style w:type="paragraph" w:customStyle="1" w:styleId="12">
    <w:name w:val="一级标题"/>
    <w:basedOn w:val="9"/>
    <w:uiPriority w:val="0"/>
    <w:pPr>
      <w:numPr>
        <w:ilvl w:val="0"/>
        <w:numId w:val="2"/>
      </w:numPr>
    </w:pPr>
    <w:rPr>
      <w:rFonts w:ascii="+西文正文" w:hAnsi="+西文正文"/>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2020-11-24T01:39:00Z</dcterms:created>
  <dc:creator>DELL</dc:creator>
  <cp:lastModifiedBy>Ryan</cp:lastModifiedBy>
  <dcterms:modified xsi:type="dcterms:W3CDTF">2020-12-14T08:07:17Z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