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olor w:val="323232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/>
          <w:i w:val="0"/>
          <w:color w:val="323232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323232"/>
          <w:kern w:val="0"/>
          <w:sz w:val="36"/>
          <w:szCs w:val="36"/>
          <w:u w:val="none"/>
          <w:lang w:val="en-US" w:eastAsia="zh-CN" w:bidi="ar"/>
        </w:rPr>
        <w:t>住房公积金对冲还贷申请审批表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/>
          <w:i w:val="0"/>
          <w:color w:val="323232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323232"/>
          <w:kern w:val="0"/>
          <w:sz w:val="36"/>
          <w:szCs w:val="36"/>
          <w:u w:val="none"/>
          <w:lang w:val="en-US" w:eastAsia="zh-CN" w:bidi="ar"/>
        </w:rPr>
        <w:t>（样版）</w:t>
      </w:r>
    </w:p>
    <w:tbl>
      <w:tblPr>
        <w:tblStyle w:val="12"/>
        <w:tblpPr w:leftFromText="180" w:rightFromText="180" w:vertAnchor="text" w:horzAnchor="page" w:tblpX="831" w:tblpY="103"/>
        <w:tblOverlap w:val="never"/>
        <w:tblW w:w="10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1738"/>
        <w:gridCol w:w="1116"/>
        <w:gridCol w:w="1737"/>
        <w:gridCol w:w="1299"/>
        <w:gridCol w:w="1189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1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对冲还贷基本信息</w:t>
            </w:r>
          </w:p>
        </w:tc>
        <w:tc>
          <w:tcPr>
            <w:tcW w:w="92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none"/>
                <w:lang w:val="en-US" w:eastAsia="zh-CN"/>
              </w:rPr>
              <w:t xml:space="preserve"> 1.</w:t>
            </w: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none"/>
                <w:lang w:eastAsia="zh-CN"/>
              </w:rPr>
              <w:t>房屋地址：</w:t>
            </w: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Style w:val="17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lang w:val="en-US" w:eastAsia="zh-CN"/>
              </w:rPr>
              <w:t xml:space="preserve"> 2.借款人姓名：</w:t>
            </w: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lang w:val="en-US" w:eastAsia="zh-CN"/>
              </w:rPr>
              <w:t xml:space="preserve"> 3.婚姻状况：</w:t>
            </w:r>
            <w:r>
              <w:rPr>
                <w:rStyle w:val="15"/>
                <w:b w:val="0"/>
                <w:bCs/>
                <w:sz w:val="24"/>
                <w:szCs w:val="24"/>
                <w:lang w:val="en-US" w:eastAsia="zh-CN" w:bidi="ar"/>
              </w:rPr>
              <w:t>□未婚 □已婚 □离异 □丧偶</w:t>
            </w:r>
          </w:p>
          <w:p>
            <w:pPr>
              <w:spacing w:line="360" w:lineRule="auto"/>
              <w:jc w:val="both"/>
              <w:rPr>
                <w:rStyle w:val="15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lang w:val="en-US" w:eastAsia="zh-CN"/>
              </w:rPr>
              <w:t xml:space="preserve"> 4.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对冲</w:t>
            </w:r>
            <w:r>
              <w:rPr>
                <w:rFonts w:hint="eastAsia" w:ascii="宋体" w:hAnsi="宋体" w:cs="宋体"/>
                <w:i w:val="0"/>
                <w:color w:val="323232"/>
                <w:sz w:val="24"/>
                <w:szCs w:val="24"/>
                <w:lang w:val="en-US" w:eastAsia="zh-CN"/>
              </w:rPr>
              <w:t>贷款类型：</w:t>
            </w:r>
            <w:r>
              <w:rPr>
                <w:rStyle w:val="15"/>
                <w:b w:val="0"/>
                <w:bCs/>
                <w:sz w:val="24"/>
                <w:szCs w:val="24"/>
                <w:lang w:val="en-US" w:eastAsia="zh-CN" w:bidi="ar"/>
              </w:rPr>
              <w:t xml:space="preserve"> □纯住房公积金贷款  □组合贷款（住房公积金贷款部分）</w:t>
            </w:r>
          </w:p>
          <w:p>
            <w:pPr>
              <w:spacing w:line="360" w:lineRule="auto"/>
              <w:jc w:val="both"/>
              <w:rPr>
                <w:rStyle w:val="15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b w:val="0"/>
                <w:bCs/>
                <w:sz w:val="24"/>
                <w:szCs w:val="24"/>
                <w:lang w:val="en-US" w:eastAsia="zh-CN" w:bidi="ar"/>
              </w:rPr>
              <w:t xml:space="preserve"> 5.申请业务类型：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>（1）月对冲还贷：□</w:t>
            </w:r>
            <w:r>
              <w:rPr>
                <w:rStyle w:val="15"/>
                <w:rFonts w:hint="eastAsia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 xml:space="preserve">开通  </w:t>
            </w: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 xml:space="preserve">□停止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 xml:space="preserve">（2）对冲提前还贷：□一次性结清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>部分还款（金额：</w:t>
            </w: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Style w:val="17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Style w:val="15"/>
                <w:b w:val="0"/>
                <w:bCs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15"/>
                <w:b w:val="0"/>
                <w:bCs/>
                <w:i w:val="0"/>
                <w:iCs w:val="0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spacing w:line="360" w:lineRule="auto"/>
              <w:jc w:val="both"/>
              <w:rPr>
                <w:rStyle w:val="15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（3）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7" w:hRule="atLeast"/>
        </w:trPr>
        <w:tc>
          <w:tcPr>
            <w:tcW w:w="103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已阅读并理解住房公积金对冲还贷业务的有关规定，提供的申请资料真实有效，自愿办理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住房公积金对冲还贷业务，承诺对冲还贷期间及时查询住房公积金账户和银行扣款账户情况，保证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按时足额偿还贷款本息。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（按手印）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广西区直住房公积金管理中心审批</w:t>
            </w:r>
          </w:p>
        </w:tc>
        <w:tc>
          <w:tcPr>
            <w:tcW w:w="4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审核意见：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审核人：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323232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4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审批意见：                 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23232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157" w:afterLines="50"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FFFFFF" w:themeColor="background1"/>
          <w:sz w:val="36"/>
          <w:szCs w:val="36"/>
          <w:shd w:val="clear" w:color="auto" w:fill="FFFFF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FFFFFF" w:themeColor="background1"/>
          <w:sz w:val="36"/>
          <w:szCs w:val="36"/>
          <w:shd w:val="clear" w:color="auto" w:fill="FFFFFF"/>
          <w:lang w:val="en-US" w:eastAsia="zh-CN"/>
          <w14:textFill>
            <w14:solidFill>
              <w14:schemeClr w14:val="bg1"/>
            </w14:solidFill>
          </w14:textFill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eastAsia="zh-CN"/>
        </w:rPr>
        <w:t>住房公积金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</w:rPr>
        <w:t>对冲还贷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eastAsia="zh-CN"/>
        </w:rPr>
        <w:t>业务须知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根据《南宁住房公积金管理中心区直分中心住房公积金对冲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还贷业务实施办法》（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桂公积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〔201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住房公积金对冲还贷指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我中心缴存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职工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使用住房公积金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账户内资金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冲抵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在我中心的住房公积金贷款，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</w:rPr>
        <w:t>括月对冲还贷和对冲提前还贷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一、申请条件：申请对象为借款人及其配偶，但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配偶不得单独申请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。申请时住房公积金账户为非受限状态且无逾期欠款。受限状态指关注、限制、违规和冻结状态。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二、对冲还贷扣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款顺序依次为：借款人住房公积金账户，借款人配偶住房公积金账户，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借款人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银行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扣款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账户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账户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余额不足时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，自动进入下一扣款顺序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住房公积金账户为受限状态的不执行对冲还贷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冲还贷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住房公积金账户余额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不低于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100元，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住房公积金账户和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银行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扣款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账户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余额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不足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未偿还的贷款本息自动转为逾期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因住房公积金账户为受限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状态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导致不能正常对冲还贷的，同意我中心直接从借款人银行扣款账户中扣款。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3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   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</w:rPr>
        <w:t>月对冲还贷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审批通过后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最近还款日开始每月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自动对冲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u w:val="none"/>
        </w:rPr>
        <w:t>对冲提前还贷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u w:val="none"/>
          <w:lang w:eastAsia="zh-CN"/>
        </w:rPr>
        <w:t>的，审批通过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u w:val="none"/>
          <w:lang w:eastAsia="zh-CN"/>
        </w:rPr>
        <w:t>于当日自动对冲。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eastAsia="zh-CN"/>
        </w:rPr>
        <w:t>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</w:rPr>
        <w:t>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</w:rPr>
        <w:t>当日不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申请开通、变更及停止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对冲还贷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五、对冲部分提前还贷的金额必须为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万元的整数倍，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提前还贷次数之和不能超过6次。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   六、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借款人及其配偶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应及时查询关注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贷款偿还情况，并在银行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扣款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帐户上预留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3个月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以上的还贷资金，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确保按时足额偿还贷款本息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，避免贷款逾期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，否则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自行承担由此造成的后果。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 xml:space="preserve">    七、对冲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</w:rPr>
        <w:t>还贷期间，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婚姻状况、房屋产权或还贷人变更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和还贷人出现失踪、死亡等情形的，可申请变更对冲还贷人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房屋产权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身份证号、婚姻状况、联系电话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  <w:t>、住房公积金账户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  <w:t>银行扣款账户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等发生变化的，应及时到我中心办理变更手续，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否则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自行承担由此造成的后果。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   九、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停止对冲还贷后，贷款仍未结清的，借款人须继续偿还贷款本息，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否则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自行承担由此造成的后果。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十、如遇政策变化，同意并授权我中心直接按新政策规定执行。</w: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8388C"/>
    <w:rsid w:val="01FE6564"/>
    <w:rsid w:val="025C400B"/>
    <w:rsid w:val="02C07090"/>
    <w:rsid w:val="02D0624A"/>
    <w:rsid w:val="046971C8"/>
    <w:rsid w:val="04D857D3"/>
    <w:rsid w:val="071579B8"/>
    <w:rsid w:val="07AE712D"/>
    <w:rsid w:val="07C53A06"/>
    <w:rsid w:val="08491006"/>
    <w:rsid w:val="0946114A"/>
    <w:rsid w:val="09962C0D"/>
    <w:rsid w:val="0B0F7961"/>
    <w:rsid w:val="0B3C2671"/>
    <w:rsid w:val="0CC727E3"/>
    <w:rsid w:val="0CE60769"/>
    <w:rsid w:val="0CEC0915"/>
    <w:rsid w:val="0D9E3BD9"/>
    <w:rsid w:val="0EFC5961"/>
    <w:rsid w:val="0F835B00"/>
    <w:rsid w:val="0FC76209"/>
    <w:rsid w:val="0FFF39E7"/>
    <w:rsid w:val="106D6776"/>
    <w:rsid w:val="1136645B"/>
    <w:rsid w:val="12660010"/>
    <w:rsid w:val="12A75EE8"/>
    <w:rsid w:val="12D0215A"/>
    <w:rsid w:val="13346AB5"/>
    <w:rsid w:val="14392C0F"/>
    <w:rsid w:val="14420EBE"/>
    <w:rsid w:val="14AC27EF"/>
    <w:rsid w:val="15A158E1"/>
    <w:rsid w:val="15CF0444"/>
    <w:rsid w:val="165E112C"/>
    <w:rsid w:val="16C5617E"/>
    <w:rsid w:val="18826FD0"/>
    <w:rsid w:val="19141057"/>
    <w:rsid w:val="193C3ADD"/>
    <w:rsid w:val="197073F9"/>
    <w:rsid w:val="1A3E7B48"/>
    <w:rsid w:val="1AB902E2"/>
    <w:rsid w:val="1ABE52C6"/>
    <w:rsid w:val="1B1C07FD"/>
    <w:rsid w:val="1BE71545"/>
    <w:rsid w:val="1D8E281B"/>
    <w:rsid w:val="1EE0521A"/>
    <w:rsid w:val="1F7053FA"/>
    <w:rsid w:val="1FF83B85"/>
    <w:rsid w:val="213860F4"/>
    <w:rsid w:val="21EC4A0B"/>
    <w:rsid w:val="257C0071"/>
    <w:rsid w:val="25855FAB"/>
    <w:rsid w:val="260B7A3C"/>
    <w:rsid w:val="2641189A"/>
    <w:rsid w:val="266B651B"/>
    <w:rsid w:val="26E17F6A"/>
    <w:rsid w:val="27201FEC"/>
    <w:rsid w:val="28FD31DB"/>
    <w:rsid w:val="2963544F"/>
    <w:rsid w:val="29814155"/>
    <w:rsid w:val="2A2C3E56"/>
    <w:rsid w:val="2B08640F"/>
    <w:rsid w:val="2B2B416F"/>
    <w:rsid w:val="2CDE67E8"/>
    <w:rsid w:val="2D2101B2"/>
    <w:rsid w:val="2E635A95"/>
    <w:rsid w:val="2E7D24FC"/>
    <w:rsid w:val="2F8B497F"/>
    <w:rsid w:val="305829FE"/>
    <w:rsid w:val="340062F7"/>
    <w:rsid w:val="3434352C"/>
    <w:rsid w:val="35F6580A"/>
    <w:rsid w:val="36731234"/>
    <w:rsid w:val="37340334"/>
    <w:rsid w:val="37796C04"/>
    <w:rsid w:val="388C5140"/>
    <w:rsid w:val="3B4B6E0C"/>
    <w:rsid w:val="3CC52047"/>
    <w:rsid w:val="3D3E6B88"/>
    <w:rsid w:val="3D4C7322"/>
    <w:rsid w:val="3D4F2B18"/>
    <w:rsid w:val="3D72391C"/>
    <w:rsid w:val="3E8B57B8"/>
    <w:rsid w:val="3F98042B"/>
    <w:rsid w:val="40A02422"/>
    <w:rsid w:val="40CE17FA"/>
    <w:rsid w:val="41237C91"/>
    <w:rsid w:val="419873D5"/>
    <w:rsid w:val="419E6B86"/>
    <w:rsid w:val="42F14BFD"/>
    <w:rsid w:val="430A60AB"/>
    <w:rsid w:val="431F7B99"/>
    <w:rsid w:val="43CD0CDA"/>
    <w:rsid w:val="44911571"/>
    <w:rsid w:val="467802F5"/>
    <w:rsid w:val="4A8D4E9F"/>
    <w:rsid w:val="4AB75F6C"/>
    <w:rsid w:val="4AE70AE4"/>
    <w:rsid w:val="4AE7414A"/>
    <w:rsid w:val="4B8F6F85"/>
    <w:rsid w:val="4C341B48"/>
    <w:rsid w:val="4C494243"/>
    <w:rsid w:val="4C52331D"/>
    <w:rsid w:val="4C9E2993"/>
    <w:rsid w:val="4E94420D"/>
    <w:rsid w:val="4E965CE8"/>
    <w:rsid w:val="4F070648"/>
    <w:rsid w:val="4F6C6DDF"/>
    <w:rsid w:val="50004B8E"/>
    <w:rsid w:val="50340800"/>
    <w:rsid w:val="503D60D3"/>
    <w:rsid w:val="50586802"/>
    <w:rsid w:val="505B110E"/>
    <w:rsid w:val="514B1453"/>
    <w:rsid w:val="51CC7BAE"/>
    <w:rsid w:val="51F070E8"/>
    <w:rsid w:val="523D0F1F"/>
    <w:rsid w:val="53D32615"/>
    <w:rsid w:val="54CC4649"/>
    <w:rsid w:val="5531483E"/>
    <w:rsid w:val="556D56A6"/>
    <w:rsid w:val="557371DF"/>
    <w:rsid w:val="55D943A0"/>
    <w:rsid w:val="565E72D7"/>
    <w:rsid w:val="56B453D9"/>
    <w:rsid w:val="56C55129"/>
    <w:rsid w:val="5A95481B"/>
    <w:rsid w:val="5AE93562"/>
    <w:rsid w:val="5C905608"/>
    <w:rsid w:val="5E8673BD"/>
    <w:rsid w:val="5F242DAC"/>
    <w:rsid w:val="608A2BF5"/>
    <w:rsid w:val="60B80E3B"/>
    <w:rsid w:val="60EC26DA"/>
    <w:rsid w:val="60F1336B"/>
    <w:rsid w:val="61F80BB9"/>
    <w:rsid w:val="623501DC"/>
    <w:rsid w:val="632E613E"/>
    <w:rsid w:val="65674D8E"/>
    <w:rsid w:val="66476449"/>
    <w:rsid w:val="669F7F23"/>
    <w:rsid w:val="671552A2"/>
    <w:rsid w:val="677D3923"/>
    <w:rsid w:val="678560A2"/>
    <w:rsid w:val="6789177C"/>
    <w:rsid w:val="67925716"/>
    <w:rsid w:val="67C14762"/>
    <w:rsid w:val="682D5FBF"/>
    <w:rsid w:val="68695693"/>
    <w:rsid w:val="688F3F6A"/>
    <w:rsid w:val="6A120CCD"/>
    <w:rsid w:val="6B462806"/>
    <w:rsid w:val="6B697D3E"/>
    <w:rsid w:val="6B7A3820"/>
    <w:rsid w:val="6BBF50F7"/>
    <w:rsid w:val="6CC2069C"/>
    <w:rsid w:val="6F003860"/>
    <w:rsid w:val="6F931F5F"/>
    <w:rsid w:val="6FBC47EA"/>
    <w:rsid w:val="70146563"/>
    <w:rsid w:val="71337662"/>
    <w:rsid w:val="71AE0F87"/>
    <w:rsid w:val="72EA523C"/>
    <w:rsid w:val="730D0EC2"/>
    <w:rsid w:val="741B38CE"/>
    <w:rsid w:val="74493AA8"/>
    <w:rsid w:val="748824CE"/>
    <w:rsid w:val="751F2C26"/>
    <w:rsid w:val="762A3CDB"/>
    <w:rsid w:val="76645992"/>
    <w:rsid w:val="76AB0A9C"/>
    <w:rsid w:val="76F25B83"/>
    <w:rsid w:val="787033B9"/>
    <w:rsid w:val="7A586373"/>
    <w:rsid w:val="7B9C6ED5"/>
    <w:rsid w:val="7C2863D7"/>
    <w:rsid w:val="7C2A5D4D"/>
    <w:rsid w:val="7D6D35C7"/>
    <w:rsid w:val="7FBB6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60" w:lineRule="exact"/>
      <w:ind w:firstLine="630"/>
    </w:pPr>
    <w:rPr>
      <w:rFonts w:ascii="仿宋_GB2312" w:hAnsi="宋体" w:eastAsia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1"/>
    <w:basedOn w:val="1"/>
    <w:link w:val="7"/>
    <w:qFormat/>
    <w:uiPriority w:val="0"/>
    <w:rPr>
      <w:rFonts w:ascii="仿宋_GB2312" w:eastAsia="仿宋_GB2312"/>
      <w:b/>
      <w:sz w:val="32"/>
      <w:szCs w:val="32"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323232"/>
      <w:sz w:val="22"/>
      <w:szCs w:val="22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323232"/>
      <w:sz w:val="12"/>
      <w:szCs w:val="12"/>
      <w:u w:val="none"/>
    </w:rPr>
  </w:style>
  <w:style w:type="character" w:customStyle="1" w:styleId="17">
    <w:name w:val="font41"/>
    <w:basedOn w:val="7"/>
    <w:qFormat/>
    <w:uiPriority w:val="0"/>
    <w:rPr>
      <w:rFonts w:hint="eastAsia" w:ascii="宋体" w:hAnsi="宋体" w:eastAsia="宋体" w:cs="宋体"/>
      <w:color w:val="323232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1690</Words>
  <Characters>1714</Characters>
  <Lines>0</Lines>
  <Paragraphs>0</Paragraphs>
  <TotalTime>7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gjj</cp:lastModifiedBy>
  <cp:lastPrinted>2022-06-06T11:34:00Z</cp:lastPrinted>
  <dcterms:modified xsi:type="dcterms:W3CDTF">2022-06-08T08:54:56Z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